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Урок-игра по музыке во 2 классе.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Тема урока: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Разыграй песню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 Русская народная песня «Бояре, а мы к вам пришли»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Тип: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открытие нового знания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Цель: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Познакомить учащихся с понятием «фольклор» и русской народной песней «Бояре, а мы к вам пришли»</w:t>
      </w:r>
      <w:r/>
    </w:p>
    <w:p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Планируемые результаты: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Предметные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азучить</w:t>
      </w:r>
      <w:r>
        <w:rPr>
          <w:rFonts w:ascii="Times New Roman" w:hAnsi="Times New Roman" w:cs="Times New Roman"/>
          <w:sz w:val="28"/>
          <w:szCs w:val="28"/>
        </w:rPr>
        <w:t xml:space="preserve"> и разыграть русскую народную песню «Бояре, а мы к вам пришли»</w:t>
      </w:r>
      <w:r/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Метапредметные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развить чувст</w:t>
      </w:r>
      <w:r>
        <w:rPr>
          <w:rFonts w:ascii="Times New Roman" w:hAnsi="Times New Roman" w:cs="Times New Roman"/>
          <w:sz w:val="28"/>
          <w:szCs w:val="28"/>
        </w:rPr>
        <w:t xml:space="preserve">во прекрасного; 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пространственное воображение.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ознавательные: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учебного сотрудни</w:t>
      </w:r>
      <w:r>
        <w:rPr>
          <w:rFonts w:ascii="Times New Roman" w:hAnsi="Times New Roman" w:cs="Times New Roman"/>
          <w:sz w:val="28"/>
          <w:szCs w:val="28"/>
        </w:rPr>
        <w:t xml:space="preserve">чества и инициативное сотрудничество, взаимодействие и использование полученного опыта общения с фольклором в досуговой деятельности и личной жизни, передача в собственном исполнении различных музыкальных образов, владение умениями совместной деятельности.</w:t>
      </w:r>
      <w:r/>
    </w:p>
    <w:p>
      <w:pPr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проявление эмоциональной отзывчивости, личностного отношения при восприятии и исполнении музыкальных произведений, развитие духовно- нравственных качеств, эмоциональной отзывчивости; уважительного отношения к обычаям и традициям русского народа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Оборудование: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баян, музыкальный центр учебник, презентация, костюмы, русские народные инструменты.</w:t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-54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Ход урока</w:t>
      </w:r>
      <w:r/>
    </w:p>
    <w:p>
      <w:pPr>
        <w:ind w:left="-54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1972"/>
        <w:gridCol w:w="7371"/>
        <w:gridCol w:w="5387"/>
      </w:tblGrid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учителя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учеников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Орг. момент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Приветствие детей. Настрой на урок. 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Здравствуйте, ребята. Я рада приветствовать вас на уроке музыки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Приветствуют учителя,  включаются в учебную деятельность.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"Здравствуйте".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Актуализация знаний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Послушайте му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зыку и подумайте, как она звучит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?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Звучит РНП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 "Светит месяц".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Композиторская эта музыка или народная?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Кто исполняет этот плясовой наигрыш?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тоже станем на минуту музыкантами и сыграем с оркестром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Вашим домашним заданием было нарисовать один из русских народных инструментов.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- По рядам выходят и показывают, Проговаривают, какой инструмент нарисовали.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Весело, громко, быстро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Народная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Оркестр русских народных инструментов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Игра на детских музыкальных инструментах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Показывают и 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роговаривают, какой инструмент нарисовали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 целеполагание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Сегодня мы отправляемся в удивительную страну, которая называется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ародное творчество.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 вы понимаете значение слов «устное народное творчество?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Что относится к устному народному творчеству? Какие жанры устного народного творчества вы знаете?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попробуем предположить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тему сегодняшнего урока.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УСТНОЕ от слова «уста» - «рот», «губы», то, что произносится, а не пишется.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НАРОДНОЕ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– принадлежит народу.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ТВОРЧЕСТВО – создание чего-то нового.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Скороговорки,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поговорки, пословицы,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потешки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народные песни, считалки, небылицы, былины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Фольклор – народная мудрость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Фольклор, устное народное творчество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Сказки, загадки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зучение нового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Давным-давно на Руси, когда еще не было телевидения, театров, радио и тем более компьютеров, собиралась молодежь на посиделки. Что же это? Послушайте стихотворение и все поймете.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завалинках, в светелке, иль на бревнышках каких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Собирались посиделки пожилых и молодых.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 лучине ли сидели, иль под светлый небосвод -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Говорили, песни пели и водили хоровод.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 играли как! В горелки!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горелки хороши!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Словом, эти посиделки - были праздником души.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Чем же занималась молодежь на посиделках?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При этом девушки приносили прялки, либо шитье, или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пяльца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 вышивкой полотенец. Девушки прихо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дили па посиделки первыми, рассаживались по лавкам и начинали прясть. Парни подходили по одному, по два и группами; войдя, молились перед иконами, затем приветствовали: "Здравствуйте, красные девушки!" В ответ раздавалось: "Здравствуйте, молодцы хорошие!"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мы тоже попробуем поприветствовать друг друга.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Молодежь очень любила играть в игры - лапту, горелки, жмурки, прятки, кошки-мышки. А какие игры знаете вы?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 я предлагаю вам игру на внимание.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Прослушайте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разные мелодии, а вы исполнять под них движения.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Ребята, как вы думаете, что было главным в жизни простого человека, крестьянина?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Вырастить хлеб, дожить до следующего урожая – это было главным в жизни крестьянина. В связи с этим возникают крестьянские праздники и обряды. У крестьянина был свой календарь.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Когда же начинались праздники? Когда крестьянин мог передохнуть, в какое время года не нужно было ухаживать за урожаем?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это время молодые люди надевали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лучшую одежду, другие обряжались в образы разных животных и ходили по дворам желали добра друг другу и хорошего урожая в новом году, с песнями и играми. А женихи присматривали невест. Именно так появилась русская народная песня: «Бояре, а мы к вам пришли».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Прослушайте русскую народную песню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«Бояре, а мы к вам пришли»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и подумайте, на что она похожа?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что похожа эта песня?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Между кем ведется диалог?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Откройте учебник на стр. 60. Посмотрите на ноты.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 звучит эта песня?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Какое настроение у вас возникло?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разделимся на 2 группы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 1 будут мальчики, а во второй девочки.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Разучивание русской народной песни «Бояре, а мы к вам пришли»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Прочитайте песню.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 чем это песня?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Ребята, а как поется эта песня?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попробуем прочитать хором в форме диалога.</w:t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По фразам</w:t>
            </w:r>
            <w:r/>
          </w:p>
          <w:tbl>
            <w:tblPr>
              <w:tblW w:w="5670" w:type="dxa"/>
              <w:tblInd w:w="167" w:type="dxa"/>
              <w:shd w:val="clear" w:color="auto" w:fill="ffffff"/>
              <w:tblCellMar>
                <w:left w:w="105" w:type="dxa"/>
                <w:top w:w="105" w:type="dxa"/>
                <w:right w:w="105" w:type="dxa"/>
                <w:bottom w:w="105" w:type="dxa"/>
              </w:tblCellMar>
              <w:tblLook w:val="04A0" w:firstRow="1" w:lastRow="0" w:firstColumn="1" w:lastColumn="0" w:noHBand="0" w:noVBand="1"/>
            </w:tblPr>
            <w:tblGrid>
              <w:gridCol w:w="2552"/>
              <w:gridCol w:w="3118"/>
            </w:tblGrid>
            <w:tr>
              <w:trPr>
                <w:trHeight w:val="204"/>
              </w:trPr>
              <w:tc>
                <w:tcPr>
                  <w:shd w:val="clear" w:color="auto" w:fill="ffffff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one" w:color="000000" w:sz="4" w:space="0"/>
                  </w:tcBorders>
                  <w:tcMar>
                    <w:left w:w="115" w:type="dxa"/>
                    <w:top w:w="0" w:type="dxa"/>
                    <w:right w:w="0" w:type="dxa"/>
                    <w:bottom w:w="0" w:type="dxa"/>
                  </w:tcMar>
                  <w:tcW w:w="255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Группа мальчиков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15" w:type="dxa"/>
                    <w:top w:w="0" w:type="dxa"/>
                    <w:right w:w="115" w:type="dxa"/>
                    <w:bottom w:w="0" w:type="dxa"/>
                  </w:tcMar>
                  <w:tcW w:w="31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Группа девочек</w:t>
                  </w:r>
                  <w:r/>
                </w:p>
              </w:tc>
            </w:tr>
            <w:tr>
              <w:trPr>
                <w:trHeight w:val="3327"/>
              </w:trPr>
              <w:tc>
                <w:tcPr>
                  <w:shd w:val="clear" w:color="auto" w:fill="ffffff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none" w:color="000000" w:sz="4" w:space="0"/>
                  </w:tcBorders>
                  <w:tcMar>
                    <w:left w:w="115" w:type="dxa"/>
                    <w:top w:w="0" w:type="dxa"/>
                    <w:right w:w="0" w:type="dxa"/>
                    <w:bottom w:w="0" w:type="dxa"/>
                  </w:tcMar>
                  <w:tcW w:w="2552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1.Бояре, а мы к вам пришли!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Молодые, а мы к вам пришли!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2. Бояре, нам невеста нужна,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Молодые, нам невеста нужна.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3. Бояре, нам вот эта мила,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Отдавайте, нам невесту навсегда!</w:t>
                  </w:r>
                  <w:r/>
                </w:p>
              </w:tc>
              <w:tc>
                <w:tcPr>
                  <w:shd w:val="clear" w:color="auto" w:fill="ffffff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left w:w="115" w:type="dxa"/>
                    <w:top w:w="0" w:type="dxa"/>
                    <w:right w:w="115" w:type="dxa"/>
                    <w:bottom w:w="0" w:type="dxa"/>
                  </w:tcMar>
                  <w:tcW w:w="3118" w:type="dxa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1. Бояре, а зачем вы пришли?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Молодые, а зачем вы пришли?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2.Бояре, а 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какая</w:t>
                  </w: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, вам мила?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  <w:t xml:space="preserve">Молодые, а какая вам мила?</w:t>
                  </w:r>
                  <w:r/>
                </w:p>
                <w:p>
                  <w:pPr>
                    <w:spacing w:after="0" w:line="240" w:lineRule="auto"/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Calibri" w:cs="Times New Roman"/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Ответ детей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Разговаривали, шутили, пели песни, плясали и водили хороводы, играли в игры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Разыгрывание приветстви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я(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игра)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Мальчики: "Здравствуйте, красные девушки!"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Девочки: "Здравствуйте, молодцы хорошие!"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Дети называют известные им игры.</w:t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(игра на внимание)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Пляска - танцуют вприсядку. Хоровод - кружатся или выполняют плавные движения руками. Марш - маршируют. Колыбельная - садятся на стулья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Вырастить урожай, хлеб-главное богатство, без хлеба человеку трудно прожить.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Зимой. Январь называли в народе – январь –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просинец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 увеличивается день, становится светлее, еще не подошло время земледельческих работ.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диалог, игру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ежду девушками и парнями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форме диалога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Весёлое.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Читают в форме диалога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jc w:val="center"/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закрепление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 на что похожа эта песня?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Есть такая игра «Бояре, а мы к вам пришли». Давайте посмотрим, как в нее играют.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Как играют в эту игру?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Давайте поиграем в нее. Послушайте правила: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Девочки и мальчики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выстраиваются друг против друга на расстоянии 15—20 м. Затем играющие крепко берутся за руки, образуя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цепь. После этого мальчики идут навстречу девочкам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. Начинается торг. Игроки идущей команды произносят следующую фразу: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— Бояре, а мы к вам пришли, молодые, а мы к вам пришли.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Игроки другой команды, идя им навстречу, спрашивают: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— Бояре, а зачем пришли, молодые, а зачем пришли?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Им отвечают: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—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Бояре, нам невеста нужна, Молодые, нам невеста нужна. 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—  Бояре, а какая вам мила, молодые, а какая вам мила?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 игру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Просмотр видеоролика «Бояре, а мы к вам пришли»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Разыгрывание песни «Бояре, а мы к вам пришли»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/>
          </w:p>
          <w:p>
            <w:pPr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Почему мелодия русских неродных песен легко запоминается?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фольклор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 какой русской народной песней мы с вами познакомились?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А как мы пели эту песню?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Закончите предложения: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было интересно…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Мне было трудно…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Сочинил народ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Народная мудрость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Бояре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а мы к вам пришли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форме диалога</w:t>
            </w:r>
            <w:r/>
          </w:p>
        </w:tc>
      </w:tr>
      <w:tr>
        <w:trPr/>
        <w:tc>
          <w:tcPr>
            <w:tcW w:w="1809" w:type="dxa"/>
            <w:textDirection w:val="lrTb"/>
            <w:noWrap w:val="false"/>
          </w:tcPr>
          <w:p>
            <w:pPr>
              <w:tabs>
                <w:tab w:val="left" w:pos="1080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работа</w:t>
            </w:r>
            <w:r/>
          </w:p>
        </w:tc>
        <w:tc>
          <w:tcPr>
            <w:tcW w:w="737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Узнать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одной русской народной игре.</w:t>
            </w:r>
            <w:r/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134" w:right="851" w:bottom="56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16">
    <w:name w:val="Balloon Text"/>
    <w:basedOn w:val="811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812"/>
    <w:link w:val="81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Урок-игра по музыке во 2 классе. «Разыграй песню. Русская народная песня «Бояре, а мы к вам пришли»»</dc:title>
  <dc:subject>Урок-игра по музыке во 2 классе. «Разыграй песню. Русская народная песня «Бояре, а мы к вам пришли»»</dc:subject>
  <dc:creator>Никифорова Елена Анатольевна ГБОУ СОШ пос. Комсомольский</dc:creator>
  <cp:keywords/>
  <dc:description>Урок-игра по музыке во 2 классе. «Разыграй песню. Русская народная песня «Бояре, а мы к вам пришли»»</dc:description>
  <cp:revision>17</cp:revision>
  <dcterms:created xsi:type="dcterms:W3CDTF">2018-01-16T20:15:00Z</dcterms:created>
  <dcterms:modified xsi:type="dcterms:W3CDTF">2023-06-14T18:12:35Z</dcterms:modified>
</cp:coreProperties>
</file>